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AB29F6">
        <w:rPr>
          <w:sz w:val="20"/>
          <w:szCs w:val="20"/>
        </w:rPr>
        <w:t>8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AB411F" w:rsidRPr="00AB411F">
        <w:rPr>
          <w:sz w:val="22"/>
          <w:szCs w:val="22"/>
        </w:rPr>
        <w:t xml:space="preserve">по выполнению работ по </w:t>
      </w:r>
      <w:r w:rsidR="00C968A8">
        <w:rPr>
          <w:sz w:val="22"/>
          <w:szCs w:val="22"/>
        </w:rPr>
        <w:t>реконструкции</w:t>
      </w:r>
      <w:bookmarkStart w:id="1" w:name="_GoBack"/>
      <w:bookmarkEnd w:id="1"/>
      <w:r w:rsidR="00AB411F" w:rsidRPr="00AB411F">
        <w:rPr>
          <w:sz w:val="22"/>
          <w:szCs w:val="22"/>
        </w:rPr>
        <w:t xml:space="preserve"> двухсекционного резервуара скорого фильтра №11 ОВС «</w:t>
      </w:r>
      <w:proofErr w:type="spellStart"/>
      <w:r w:rsidR="00AB411F" w:rsidRPr="00AB411F">
        <w:rPr>
          <w:sz w:val="22"/>
          <w:szCs w:val="22"/>
        </w:rPr>
        <w:t>Заовражная</w:t>
      </w:r>
      <w:proofErr w:type="spellEnd"/>
      <w:r w:rsidR="00AB411F" w:rsidRPr="00AB411F">
        <w:rPr>
          <w:sz w:val="22"/>
          <w:szCs w:val="22"/>
        </w:rPr>
        <w:t xml:space="preserve">» АО «Водоканал» </w:t>
      </w:r>
      <w:r w:rsidR="00C45B4B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  <w:gridCol w:w="708"/>
      </w:tblGrid>
      <w:tr w:rsidR="00CC20EF" w:rsidRPr="00C67EB5" w:rsidTr="00CC20EF">
        <w:trPr>
          <w:gridAfter w:val="1"/>
          <w:wAfter w:w="708" w:type="dxa"/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A86B0F">
              <w:rPr>
                <w:sz w:val="22"/>
                <w:szCs w:val="22"/>
              </w:rPr>
              <w:t>3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A86B0F">
              <w:rPr>
                <w:sz w:val="22"/>
                <w:szCs w:val="22"/>
              </w:rPr>
              <w:t>6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  <w:tr w:rsidR="00CC20EF" w:rsidRPr="00C67EB5" w:rsidTr="00CC20EF">
        <w:trPr>
          <w:trHeight w:val="80"/>
        </w:trPr>
        <w:tc>
          <w:tcPr>
            <w:tcW w:w="10635" w:type="dxa"/>
            <w:gridSpan w:val="2"/>
          </w:tcPr>
          <w:p w:rsidR="00CC20EF" w:rsidRPr="00C67EB5" w:rsidRDefault="00CC20EF" w:rsidP="00C67EB5">
            <w:pPr>
              <w:ind w:firstLine="709"/>
              <w:jc w:val="both"/>
            </w:pP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2960D5">
        <w:rPr>
          <w:sz w:val="22"/>
          <w:szCs w:val="22"/>
        </w:rPr>
        <w:t>УЖКХиБ</w:t>
      </w:r>
      <w:proofErr w:type="spellEnd"/>
      <w:r w:rsidRPr="002960D5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В течени</w:t>
      </w:r>
      <w:proofErr w:type="gramStart"/>
      <w:r w:rsidRPr="000E5D91">
        <w:rPr>
          <w:sz w:val="22"/>
          <w:szCs w:val="22"/>
        </w:rPr>
        <w:t>и</w:t>
      </w:r>
      <w:proofErr w:type="gramEnd"/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0314CB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 xml:space="preserve">,  в соответствии с п. 3.1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0314CB" w:rsidRPr="00F600B8" w:rsidRDefault="000314CB" w:rsidP="00F600B8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обязан</w:t>
      </w:r>
      <w:r w:rsidRPr="000314CB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предъявлять все работы представителям отдела ЖКХ, транспорта и связи Администрации города Чебоксары</w:t>
      </w:r>
      <w:r w:rsidR="000D42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4287">
        <w:rPr>
          <w:sz w:val="22"/>
          <w:szCs w:val="22"/>
        </w:rPr>
        <w:t xml:space="preserve">При необходимости по требованию Заказчика </w:t>
      </w:r>
      <w:r>
        <w:rPr>
          <w:sz w:val="22"/>
          <w:szCs w:val="22"/>
        </w:rPr>
        <w:t>согласовывать формы КС-2 и КС-3</w:t>
      </w:r>
      <w:r w:rsidR="00F600B8">
        <w:rPr>
          <w:sz w:val="22"/>
          <w:szCs w:val="22"/>
        </w:rPr>
        <w:t xml:space="preserve"> в АУ Чувашской Республики « Центр экспертизы и ценообразования в строительстве Чувашской Республики» Минстроя Чувашии</w:t>
      </w:r>
      <w:r w:rsidRPr="00F600B8">
        <w:rPr>
          <w:sz w:val="22"/>
          <w:szCs w:val="22"/>
        </w:rPr>
        <w:t>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приступить с участием Подрядчика приступить к приемке выполненной работы 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5905BC" w:rsidRPr="00C45B4B" w:rsidRDefault="005905BC" w:rsidP="005905BC">
      <w:pPr>
        <w:pStyle w:val="a9"/>
        <w:tabs>
          <w:tab w:val="clear" w:pos="9923"/>
          <w:tab w:val="left" w:pos="709"/>
          <w:tab w:val="left" w:pos="851"/>
          <w:tab w:val="left" w:pos="993"/>
        </w:tabs>
        <w:rPr>
          <w:sz w:val="22"/>
          <w:szCs w:val="22"/>
        </w:rPr>
      </w:pPr>
    </w:p>
    <w:p w:rsidR="00345AC9" w:rsidRPr="00345AC9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C67EB5">
      <w:pPr>
        <w:pStyle w:val="ac"/>
        <w:numPr>
          <w:ilvl w:val="1"/>
          <w:numId w:val="32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</w:t>
      </w:r>
      <w:r w:rsidRPr="00D57E12">
        <w:rPr>
          <w:sz w:val="22"/>
          <w:szCs w:val="22"/>
        </w:rPr>
        <w:lastRenderedPageBreak/>
        <w:t xml:space="preserve">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</w:t>
      </w:r>
      <w:proofErr w:type="gramStart"/>
      <w:r w:rsidRPr="00D45C1F">
        <w:rPr>
          <w:iCs/>
          <w:sz w:val="22"/>
          <w:szCs w:val="22"/>
        </w:rPr>
        <w:t xml:space="preserve">.. </w:t>
      </w:r>
      <w:proofErr w:type="gramEnd"/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C67EB5">
      <w:pPr>
        <w:pStyle w:val="a9"/>
        <w:numPr>
          <w:ilvl w:val="0"/>
          <w:numId w:val="32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C67EB5">
      <w:pPr>
        <w:pStyle w:val="a9"/>
        <w:numPr>
          <w:ilvl w:val="0"/>
          <w:numId w:val="32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 xml:space="preserve">, других СИЗ и иных </w:t>
      </w:r>
      <w:r w:rsidRPr="00D57E12">
        <w:rPr>
          <w:sz w:val="22"/>
          <w:szCs w:val="22"/>
        </w:rPr>
        <w:lastRenderedPageBreak/>
        <w:t>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</w:t>
      </w:r>
      <w:r w:rsidRPr="00D905EC">
        <w:rPr>
          <w:sz w:val="22"/>
          <w:szCs w:val="22"/>
        </w:rPr>
        <w:lastRenderedPageBreak/>
        <w:t>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 xml:space="preserve"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</w:t>
      </w:r>
      <w:r w:rsidRPr="00D905EC">
        <w:rPr>
          <w:sz w:val="22"/>
          <w:szCs w:val="22"/>
        </w:rPr>
        <w:lastRenderedPageBreak/>
        <w:t>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4915"/>
        <w:gridCol w:w="4691"/>
      </w:tblGrid>
      <w:tr w:rsidR="00184310" w:rsidRPr="00345AC9" w:rsidTr="00184310">
        <w:trPr>
          <w:trHeight w:val="132"/>
        </w:trPr>
        <w:tc>
          <w:tcPr>
            <w:tcW w:w="4915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:rsidR="00184310" w:rsidRPr="00EF307B" w:rsidRDefault="00184310" w:rsidP="00184310">
            <w:pPr>
              <w:jc w:val="both"/>
            </w:pPr>
            <w:proofErr w:type="gramStart"/>
            <w:r w:rsidRPr="00EF307B">
              <w:t>Р</w:t>
            </w:r>
            <w:proofErr w:type="gramEnd"/>
            <w:r w:rsidRPr="00EF307B">
              <w:t>/С 40702810700000060274</w:t>
            </w:r>
          </w:p>
          <w:p w:rsidR="00184310" w:rsidRPr="00EF307B" w:rsidRDefault="00184310" w:rsidP="00184310">
            <w:pPr>
              <w:jc w:val="both"/>
            </w:pPr>
            <w:r w:rsidRPr="00EF307B">
              <w:t>АКБ «</w:t>
            </w:r>
            <w:proofErr w:type="spellStart"/>
            <w:r w:rsidRPr="00EF307B">
              <w:t>Чувашкредитпромбанк</w:t>
            </w:r>
            <w:proofErr w:type="spellEnd"/>
            <w:r w:rsidRPr="00EF307B">
              <w:t>» ПАО г. Чебоксары</w:t>
            </w:r>
          </w:p>
          <w:p w:rsidR="00184310" w:rsidRPr="00EF307B" w:rsidRDefault="00184310" w:rsidP="00184310">
            <w:pPr>
              <w:jc w:val="both"/>
            </w:pPr>
            <w:r w:rsidRPr="00EF307B">
              <w:t>БИК 049706725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>К/СЧ 30101810200000000725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B70D2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B70D2">
              <w:rPr>
                <w:lang w:val="en-US"/>
              </w:rPr>
              <w:t xml:space="preserve">: </w:t>
            </w:r>
            <w:hyperlink r:id="rId9" w:history="1">
              <w:r w:rsidRPr="00902095">
                <w:rPr>
                  <w:rStyle w:val="af7"/>
                  <w:lang w:val="en-US"/>
                </w:rPr>
                <w:t>info</w:t>
              </w:r>
              <w:r w:rsidRPr="00AB70D2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B70D2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B70D2">
              <w:rPr>
                <w:lang w:val="en-US"/>
              </w:rPr>
              <w:t xml:space="preserve">. </w:t>
            </w:r>
            <w:hyperlink r:id="rId10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_________________________/Васильев В.С./ </w:t>
            </w:r>
          </w:p>
          <w:p w:rsidR="00184310" w:rsidRPr="00345AC9" w:rsidRDefault="00184310" w:rsidP="00184310">
            <w:pPr>
              <w:pStyle w:val="a9"/>
              <w:jc w:val="center"/>
              <w:rPr>
                <w:b/>
                <w:bCs/>
                <w:szCs w:val="22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</w:tc>
        <w:tc>
          <w:tcPr>
            <w:tcW w:w="4691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>
      <w:pPr>
        <w:spacing w:after="200" w:line="276" w:lineRule="auto"/>
      </w:pPr>
    </w:p>
    <w:sectPr w:rsidR="00C41B4A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5F" w:rsidRDefault="0002535F" w:rsidP="00047AA4">
      <w:r>
        <w:separator/>
      </w:r>
    </w:p>
  </w:endnote>
  <w:endnote w:type="continuationSeparator" w:id="0">
    <w:p w:rsidR="0002535F" w:rsidRDefault="0002535F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5F" w:rsidRDefault="0002535F" w:rsidP="00047AA4">
      <w:r>
        <w:separator/>
      </w:r>
    </w:p>
  </w:footnote>
  <w:footnote w:type="continuationSeparator" w:id="0">
    <w:p w:rsidR="0002535F" w:rsidRDefault="0002535F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30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  <w:num w:numId="26">
    <w:abstractNumId w:val="1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27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2535F"/>
    <w:rsid w:val="000314CB"/>
    <w:rsid w:val="000328EF"/>
    <w:rsid w:val="00047AA4"/>
    <w:rsid w:val="000B2D13"/>
    <w:rsid w:val="000C419C"/>
    <w:rsid w:val="000D4287"/>
    <w:rsid w:val="00136BC5"/>
    <w:rsid w:val="001552FF"/>
    <w:rsid w:val="00184310"/>
    <w:rsid w:val="001A537A"/>
    <w:rsid w:val="002009C8"/>
    <w:rsid w:val="00267576"/>
    <w:rsid w:val="00286349"/>
    <w:rsid w:val="002960D5"/>
    <w:rsid w:val="002E6439"/>
    <w:rsid w:val="00345AC9"/>
    <w:rsid w:val="00374684"/>
    <w:rsid w:val="003E05A8"/>
    <w:rsid w:val="004279B7"/>
    <w:rsid w:val="0043189B"/>
    <w:rsid w:val="00467829"/>
    <w:rsid w:val="00497CE2"/>
    <w:rsid w:val="004B5B0A"/>
    <w:rsid w:val="004C136A"/>
    <w:rsid w:val="00524E30"/>
    <w:rsid w:val="00534405"/>
    <w:rsid w:val="00553E29"/>
    <w:rsid w:val="005905BC"/>
    <w:rsid w:val="005E70D6"/>
    <w:rsid w:val="005F14E0"/>
    <w:rsid w:val="00646C4D"/>
    <w:rsid w:val="00652757"/>
    <w:rsid w:val="00667A0F"/>
    <w:rsid w:val="00671A36"/>
    <w:rsid w:val="006E4CF1"/>
    <w:rsid w:val="00704050"/>
    <w:rsid w:val="00704D70"/>
    <w:rsid w:val="0070749B"/>
    <w:rsid w:val="00772230"/>
    <w:rsid w:val="007C17B4"/>
    <w:rsid w:val="00894E53"/>
    <w:rsid w:val="009F16C8"/>
    <w:rsid w:val="00A70093"/>
    <w:rsid w:val="00A726D9"/>
    <w:rsid w:val="00A72DCD"/>
    <w:rsid w:val="00A86B0F"/>
    <w:rsid w:val="00AB29F6"/>
    <w:rsid w:val="00AB411F"/>
    <w:rsid w:val="00AB70D2"/>
    <w:rsid w:val="00AF41FC"/>
    <w:rsid w:val="00AF42E2"/>
    <w:rsid w:val="00B32BD1"/>
    <w:rsid w:val="00B40F32"/>
    <w:rsid w:val="00BB4AF8"/>
    <w:rsid w:val="00C02901"/>
    <w:rsid w:val="00C259DF"/>
    <w:rsid w:val="00C41B4A"/>
    <w:rsid w:val="00C45B4B"/>
    <w:rsid w:val="00C63FF6"/>
    <w:rsid w:val="00C67EB5"/>
    <w:rsid w:val="00C87F00"/>
    <w:rsid w:val="00C9236E"/>
    <w:rsid w:val="00C968A8"/>
    <w:rsid w:val="00CC20EF"/>
    <w:rsid w:val="00D87B39"/>
    <w:rsid w:val="00DA21FA"/>
    <w:rsid w:val="00DC37A3"/>
    <w:rsid w:val="00E025A3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B1461"/>
    <w:rsid w:val="00FB3A7E"/>
    <w:rsid w:val="00FC6967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chv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4D96-4BFF-4327-9740-F4BE5E18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6440</Words>
  <Characters>36709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34</cp:revision>
  <cp:lastPrinted>2018-05-28T04:49:00Z</cp:lastPrinted>
  <dcterms:created xsi:type="dcterms:W3CDTF">2016-04-28T09:14:00Z</dcterms:created>
  <dcterms:modified xsi:type="dcterms:W3CDTF">2018-05-28T04:49:00Z</dcterms:modified>
</cp:coreProperties>
</file>