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___201</w:t>
      </w:r>
      <w:r w:rsidR="00843B5A">
        <w:rPr>
          <w:rFonts w:ascii="Times New Roman" w:hAnsi="Times New Roman"/>
          <w:sz w:val="20"/>
          <w:szCs w:val="20"/>
        </w:rPr>
        <w:t>8</w:t>
      </w:r>
      <w:r w:rsidRPr="00ED4C53">
        <w:rPr>
          <w:rFonts w:ascii="Times New Roman" w:hAnsi="Times New Roman"/>
          <w:sz w:val="20"/>
          <w:szCs w:val="20"/>
        </w:rPr>
        <w:t xml:space="preserve"> г.</w:t>
      </w:r>
    </w:p>
    <w:p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rsidR="00DC37A3" w:rsidRDefault="00DC37A3"/>
    <w:p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rsidR="00B07547" w:rsidRDefault="00B07547" w:rsidP="00B07547">
      <w:pPr>
        <w:spacing w:line="240" w:lineRule="auto"/>
        <w:ind w:firstLine="567"/>
        <w:contextualSpacing/>
        <w:jc w:val="both"/>
        <w:rPr>
          <w:rFonts w:ascii="Times New Roman" w:hAnsi="Times New Roman"/>
          <w:sz w:val="24"/>
          <w:szCs w:val="24"/>
        </w:rPr>
      </w:pPr>
    </w:p>
    <w:p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260B76">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260B76">
              <w:rPr>
                <w:rFonts w:ascii="Times New Roman" w:hAnsi="Times New Roman"/>
                <w:sz w:val="20"/>
                <w:szCs w:val="20"/>
              </w:rPr>
              <w:t>2</w:t>
            </w:r>
            <w:r w:rsidRPr="00D84695">
              <w:rPr>
                <w:rFonts w:ascii="Times New Roman" w:hAnsi="Times New Roman"/>
                <w:sz w:val="20"/>
                <w:szCs w:val="20"/>
              </w:rPr>
              <w:t>-201</w:t>
            </w:r>
            <w:r w:rsidR="00260B76">
              <w:rPr>
                <w:rFonts w:ascii="Times New Roman" w:hAnsi="Times New Roman"/>
                <w:sz w:val="20"/>
                <w:szCs w:val="20"/>
              </w:rPr>
              <w:t>8</w:t>
            </w:r>
            <w:bookmarkStart w:id="0" w:name="_GoBack"/>
            <w:bookmarkEnd w:id="0"/>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160396">
              <w:rPr>
                <w:rFonts w:ascii="Times New Roman" w:hAnsi="Times New Roman"/>
                <w:sz w:val="20"/>
                <w:szCs w:val="20"/>
              </w:rPr>
              <w:t xml:space="preserve">стоимостью более </w:t>
            </w:r>
            <w:r w:rsidR="0056039C">
              <w:rPr>
                <w:rFonts w:ascii="Times New Roman" w:hAnsi="Times New Roman"/>
                <w:sz w:val="20"/>
                <w:szCs w:val="20"/>
              </w:rPr>
              <w:t>5</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19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20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rsidR="00B07547" w:rsidRPr="009C5A93" w:rsidRDefault="00B07547" w:rsidP="00B07547">
      <w:pPr>
        <w:spacing w:after="0" w:line="240" w:lineRule="auto"/>
        <w:ind w:firstLine="540"/>
        <w:contextualSpacing/>
        <w:rPr>
          <w:rFonts w:ascii="Times New Roman" w:hAnsi="Times New Roman"/>
        </w:rPr>
      </w:pPr>
    </w:p>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rsidTr="008A3C9A">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A915FF">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850133" w:rsidP="008A3C9A">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FC50DC" w:rsidP="008A3C9A">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Pr="00D84695" w:rsidRDefault="002D5899" w:rsidP="002D5899">
            <w:pPr>
              <w:spacing w:after="0" w:line="240" w:lineRule="auto"/>
              <w:contextualSpacing/>
              <w:rPr>
                <w:rFonts w:ascii="Times New Roman" w:hAnsi="Times New Roman"/>
                <w:sz w:val="20"/>
                <w:szCs w:val="20"/>
              </w:rPr>
            </w:pPr>
          </w:p>
          <w:p w:rsidR="00B07547" w:rsidRPr="00D84695" w:rsidRDefault="00B07547" w:rsidP="00C73994">
            <w:pPr>
              <w:spacing w:after="0" w:line="240" w:lineRule="auto"/>
              <w:contextualSpacing/>
              <w:rPr>
                <w:rFonts w:ascii="Times New Roman" w:hAnsi="Times New Roman"/>
                <w:sz w:val="20"/>
                <w:szCs w:val="20"/>
              </w:rPr>
            </w:pPr>
          </w:p>
        </w:tc>
      </w:tr>
    </w:tbl>
    <w:p w:rsidR="00B07547" w:rsidRDefault="00B07547" w:rsidP="00B07547"/>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rsidR="00B07547" w:rsidRDefault="00B07547" w:rsidP="00B07547">
      <w:pPr>
        <w:spacing w:after="0" w:line="240" w:lineRule="auto"/>
        <w:contextualSpacing/>
      </w:pPr>
    </w:p>
    <w:tbl>
      <w:tblPr>
        <w:tblW w:w="9923" w:type="dxa"/>
        <w:jc w:val="center"/>
        <w:tblInd w:w="108" w:type="dxa"/>
        <w:tblLook w:val="0000" w:firstRow="0" w:lastRow="0" w:firstColumn="0" w:lastColumn="0" w:noHBand="0" w:noVBand="0"/>
      </w:tblPr>
      <w:tblGrid>
        <w:gridCol w:w="9923"/>
      </w:tblGrid>
      <w:tr w:rsidR="00B07547" w:rsidRPr="00D84695"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rsidR="00B07547" w:rsidRPr="00B07547" w:rsidRDefault="00B07547" w:rsidP="00B07547">
      <w:pPr>
        <w:spacing w:after="0"/>
        <w:rPr>
          <w:rFonts w:ascii="Times New Roman" w:hAnsi="Times New Roman"/>
          <w:b/>
          <w:sz w:val="24"/>
          <w:szCs w:val="24"/>
        </w:rPr>
      </w:pPr>
    </w:p>
    <w:p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rsidR="00B07547" w:rsidRDefault="00B07547"/>
    <w:p w:rsidR="00B07547" w:rsidRPr="00A915FF" w:rsidRDefault="00A915FF" w:rsidP="00A915FF">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sectPr w:rsidR="00B07547" w:rsidRPr="00A9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1B5"/>
    <w:multiLevelType w:val="hybridMultilevel"/>
    <w:tmpl w:val="DD103C94"/>
    <w:lvl w:ilvl="0" w:tplc="522CB86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E1790"/>
    <w:rsid w:val="00160396"/>
    <w:rsid w:val="001A53B7"/>
    <w:rsid w:val="00260B76"/>
    <w:rsid w:val="00291EAE"/>
    <w:rsid w:val="002D5899"/>
    <w:rsid w:val="00376709"/>
    <w:rsid w:val="003837E2"/>
    <w:rsid w:val="003F67E1"/>
    <w:rsid w:val="0056039C"/>
    <w:rsid w:val="007772DB"/>
    <w:rsid w:val="00827D0A"/>
    <w:rsid w:val="00843B5A"/>
    <w:rsid w:val="00850133"/>
    <w:rsid w:val="008A3C9A"/>
    <w:rsid w:val="00A556E9"/>
    <w:rsid w:val="00A915FF"/>
    <w:rsid w:val="00AD1C57"/>
    <w:rsid w:val="00B07547"/>
    <w:rsid w:val="00C6280D"/>
    <w:rsid w:val="00C73994"/>
    <w:rsid w:val="00DC37A3"/>
    <w:rsid w:val="00EE18D2"/>
    <w:rsid w:val="00EF49ED"/>
    <w:rsid w:val="00FC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A91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A9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Анисимов Сергей Александрович</cp:lastModifiedBy>
  <cp:revision>11</cp:revision>
  <cp:lastPrinted>2018-04-16T06:52:00Z</cp:lastPrinted>
  <dcterms:created xsi:type="dcterms:W3CDTF">2017-01-27T04:39:00Z</dcterms:created>
  <dcterms:modified xsi:type="dcterms:W3CDTF">2018-09-04T11:38:00Z</dcterms:modified>
</cp:coreProperties>
</file>